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6F297" w14:textId="1658BB4E" w:rsidR="00804537" w:rsidRDefault="00BE41DE" w:rsidP="00E6399E">
      <w:pPr>
        <w:jc w:val="center"/>
      </w:pPr>
      <w:r>
        <w:rPr>
          <w:rFonts w:ascii="Open Sans" w:eastAsia="Times New Roman" w:hAnsi="Open Sans" w:cs="Open Sans"/>
          <w:b/>
          <w:bCs/>
          <w:noProof/>
          <w:color w:val="333333"/>
          <w:kern w:val="36"/>
          <w:sz w:val="28"/>
          <w:szCs w:val="28"/>
        </w:rPr>
        <mc:AlternateContent>
          <mc:Choice Requires="wps">
            <w:drawing>
              <wp:anchor distT="0" distB="0" distL="114300" distR="114300" simplePos="0" relativeHeight="251663360" behindDoc="0" locked="0" layoutInCell="1" allowOverlap="1" wp14:anchorId="3AC58916" wp14:editId="65165AE7">
                <wp:simplePos x="0" y="0"/>
                <wp:positionH relativeFrom="margin">
                  <wp:align>left</wp:align>
                </wp:positionH>
                <wp:positionV relativeFrom="paragraph">
                  <wp:posOffset>1011555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9597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6CC74C" id="Straight Connector 2"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9.65pt" to="464.2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" strokecolor="#0070c0" strokeweight=".5pt">
                <v:stroke joinstyle="miter"/>
                <w10:wrap anchorx="margin"/>
              </v:line>
            </w:pict>
          </mc:Fallback>
        </mc:AlternateContent>
      </w:r>
      <w:r>
        <w:rPr>
          <w:noProof/>
          <w:color w:val="595959" w:themeColor="text1" w:themeTint="A6"/>
          <w:sz w:val="32"/>
          <w:szCs w:val="32"/>
        </w:rPr>
        <w:drawing>
          <wp:anchor distT="0" distB="0" distL="114300" distR="114300" simplePos="0" relativeHeight="251659264" behindDoc="0" locked="0" layoutInCell="1" allowOverlap="1" wp14:anchorId="3537D0D5" wp14:editId="3CC4EE39">
            <wp:simplePos x="0" y="0"/>
            <wp:positionH relativeFrom="margin">
              <wp:align>left</wp:align>
            </wp:positionH>
            <wp:positionV relativeFrom="paragraph">
              <wp:posOffset>0</wp:posOffset>
            </wp:positionV>
            <wp:extent cx="2003588" cy="874643"/>
            <wp:effectExtent l="0" t="0" r="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3588" cy="874643"/>
                    </a:xfrm>
                    <a:prstGeom prst="rect">
                      <a:avLst/>
                    </a:prstGeom>
                    <a:noFill/>
                    <a:ln>
                      <a:noFill/>
                    </a:ln>
                  </pic:spPr>
                </pic:pic>
              </a:graphicData>
            </a:graphic>
          </wp:anchor>
        </w:drawing>
      </w:r>
      <w:r w:rsidR="00804537">
        <w:rPr>
          <w:noProof/>
        </w:rPr>
        <w:drawing>
          <wp:anchor distT="0" distB="0" distL="114300" distR="114300" simplePos="0" relativeHeight="251658240" behindDoc="0" locked="0" layoutInCell="1" allowOverlap="1" wp14:anchorId="56602C84" wp14:editId="70CB392C">
            <wp:simplePos x="0" y="0"/>
            <wp:positionH relativeFrom="margin">
              <wp:align>right</wp:align>
            </wp:positionH>
            <wp:positionV relativeFrom="paragraph">
              <wp:posOffset>0</wp:posOffset>
            </wp:positionV>
            <wp:extent cx="1114425" cy="788035"/>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788035"/>
                    </a:xfrm>
                    <a:prstGeom prst="rect">
                      <a:avLst/>
                    </a:prstGeom>
                  </pic:spPr>
                </pic:pic>
              </a:graphicData>
            </a:graphic>
          </wp:anchor>
        </w:drawing>
      </w:r>
    </w:p>
    <w:p w14:paraId="3A86F938" w14:textId="51961104" w:rsidR="00FC01B4" w:rsidRPr="00804537" w:rsidRDefault="00BE41DE" w:rsidP="00804537">
      <w:pPr>
        <w:spacing w:before="120" w:after="0" w:line="240" w:lineRule="auto"/>
        <w:outlineLvl w:val="0"/>
        <w:rPr>
          <w:rFonts w:ascii="Calibri" w:eastAsia="Times New Roman" w:hAnsi="Calibri" w:cs="Calibri"/>
          <w:b/>
          <w:bCs/>
          <w:color w:val="333333"/>
          <w:kern w:val="36"/>
          <w:sz w:val="36"/>
          <w:szCs w:val="36"/>
        </w:rPr>
      </w:pPr>
      <w:r>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7DA92747" wp14:editId="09668282">
                <wp:simplePos x="0" y="0"/>
                <wp:positionH relativeFrom="margin">
                  <wp:align>right</wp:align>
                </wp:positionH>
                <wp:positionV relativeFrom="paragraph">
                  <wp:posOffset>6985</wp:posOffset>
                </wp:positionV>
                <wp:extent cx="619125" cy="28575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noFill/>
                        <a:ln w="9525">
                          <a:noFill/>
                          <a:miter lim="800000"/>
                          <a:headEnd/>
                          <a:tailEnd/>
                        </a:ln>
                      </wps:spPr>
                      <wps:txbx>
                        <w:txbxContent>
                          <w:p w14:paraId="02E7E6B5" w14:textId="77777777" w:rsidR="00BE41DE" w:rsidRDefault="00BE41DE" w:rsidP="00BE41DE">
                            <w:pPr>
                              <w:rPr>
                                <w:rFonts w:ascii="Arial Black" w:hAnsi="Arial Black"/>
                                <w:b/>
                                <w:bCs/>
                                <w:color w:val="000000" w:themeColor="text1"/>
                              </w:rPr>
                            </w:pPr>
                            <w:r>
                              <w:rPr>
                                <w:rFonts w:ascii="Arial Black" w:hAnsi="Arial Black"/>
                                <w:b/>
                                <w:bCs/>
                                <w:color w:val="000000" w:themeColor="text1"/>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92747" id="_x0000_t202" coordsize="21600,21600" o:spt="202" path="m,l,21600r21600,l21600,xe">
                <v:stroke joinstyle="miter"/>
                <v:path gradientshapeok="t" o:connecttype="rect"/>
              </v:shapetype>
              <v:shape id="Text Box 217" o:spid="_x0000_s1026" type="#_x0000_t202" style="position:absolute;margin-left:-2.45pt;margin-top:.55pt;width:48.7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" filled="f" stroked="f">
                <v:textbox>
                  <w:txbxContent>
                    <w:p w14:paraId="02E7E6B5" w14:textId="77777777" w:rsidR="00BE41DE" w:rsidRDefault="00BE41DE" w:rsidP="00BE41DE">
                      <w:pPr>
                        <w:rPr>
                          <w:rFonts w:ascii="Arial Black" w:hAnsi="Arial Black"/>
                          <w:b/>
                          <w:bCs/>
                          <w:color w:val="000000" w:themeColor="text1"/>
                        </w:rPr>
                      </w:pPr>
                      <w:r>
                        <w:rPr>
                          <w:rFonts w:ascii="Arial Black" w:hAnsi="Arial Black"/>
                          <w:b/>
                          <w:bCs/>
                          <w:color w:val="000000" w:themeColor="text1"/>
                        </w:rPr>
                        <w:t>2023</w:t>
                      </w:r>
                    </w:p>
                  </w:txbxContent>
                </v:textbox>
                <w10:wrap anchorx="margin"/>
              </v:shape>
            </w:pict>
          </mc:Fallback>
        </mc:AlternateContent>
      </w:r>
      <w:r w:rsidR="00804537" w:rsidRPr="00804537">
        <w:rPr>
          <w:rFonts w:ascii="Calibri" w:eastAsia="Times New Roman" w:hAnsi="Calibri" w:cs="Calibri"/>
          <w:b/>
          <w:bCs/>
          <w:color w:val="333333"/>
          <w:kern w:val="36"/>
          <w:sz w:val="36"/>
          <w:szCs w:val="36"/>
        </w:rPr>
        <w:t>Task 2. Vehicle-to-Grid and DERMS</w:t>
      </w:r>
      <w:r w:rsidR="00E6399E" w:rsidRPr="00804537">
        <w:rPr>
          <w:rFonts w:ascii="Calibri" w:eastAsia="Times New Roman" w:hAnsi="Calibri" w:cs="Calibri"/>
          <w:b/>
          <w:bCs/>
          <w:color w:val="333333"/>
          <w:kern w:val="36"/>
          <w:sz w:val="36"/>
          <w:szCs w:val="36"/>
        </w:rPr>
        <w:t xml:space="preserve"> Task </w:t>
      </w:r>
      <w:r w:rsidR="00804537" w:rsidRPr="00804537">
        <w:rPr>
          <w:rFonts w:ascii="Calibri" w:eastAsia="Times New Roman" w:hAnsi="Calibri" w:cs="Calibri"/>
          <w:b/>
          <w:bCs/>
          <w:color w:val="333333"/>
          <w:kern w:val="36"/>
          <w:sz w:val="36"/>
          <w:szCs w:val="36"/>
        </w:rPr>
        <w:t>Overview</w:t>
      </w:r>
    </w:p>
    <w:p w14:paraId="474C2A0B" w14:textId="01D7C824" w:rsidR="00804537" w:rsidRDefault="00804537" w:rsidP="00804537">
      <w:r>
        <w:t>Specific problem details coming soon!</w:t>
      </w:r>
    </w:p>
    <w:p w14:paraId="5A2B560B" w14:textId="280FBD2D" w:rsidR="00E6399E" w:rsidRDefault="00E6399E" w:rsidP="00BE41DE"/>
    <w:p w14:paraId="3F26A8E2" w14:textId="0A210CD2" w:rsidR="00E6399E" w:rsidRDefault="00E6399E" w:rsidP="00E6399E">
      <w:pPr>
        <w:spacing w:after="120"/>
        <w:rPr>
          <w:rFonts w:ascii="Calibri" w:eastAsia="Times New Roman" w:hAnsi="Calibri" w:cs="Calibri"/>
          <w:color w:val="333333"/>
        </w:rPr>
      </w:pPr>
      <w:r w:rsidRPr="00682C5D">
        <w:rPr>
          <w:rFonts w:ascii="Calibri" w:eastAsia="Times New Roman" w:hAnsi="Calibri" w:cs="Calibri"/>
          <w:color w:val="333333"/>
        </w:rPr>
        <w:t>El Paso Electric (EPE) looks to continue its drive toward a greener and more sustainable future. As more renewable and emergent technologies, such as Solar, Battery Energy Storage (BESS), Distributed Energy Resource Management Systems (DERMS), and Electric Vehicle (EV) adoption continues to grow in EPE’s region, EPE looks for ways to better integrate these innovative technologies into the electrical grid while promoting customer engagement, education, and outreach.</w:t>
      </w:r>
    </w:p>
    <w:p w14:paraId="0C36DC40" w14:textId="77777777" w:rsidR="00E6399E" w:rsidRDefault="00E6399E" w:rsidP="00E6399E">
      <w:pPr>
        <w:spacing w:after="120"/>
        <w:rPr>
          <w:rFonts w:ascii="Calibri" w:eastAsia="Times New Roman" w:hAnsi="Calibri" w:cs="Calibri"/>
          <w:color w:val="333333"/>
        </w:rPr>
      </w:pPr>
    </w:p>
    <w:p w14:paraId="4929C423" w14:textId="5527876D" w:rsidR="00E6399E" w:rsidRDefault="00E6399E" w:rsidP="00E6399E">
      <w:pPr>
        <w:spacing w:after="120"/>
        <w:rPr>
          <w:rFonts w:ascii="Calibri" w:eastAsia="Times New Roman" w:hAnsi="Calibri" w:cs="Calibri"/>
          <w:color w:val="333333"/>
        </w:rPr>
      </w:pPr>
      <w:r>
        <w:rPr>
          <w:rFonts w:ascii="Calibri" w:eastAsia="Times New Roman" w:hAnsi="Calibri" w:cs="Calibri"/>
          <w:color w:val="333333"/>
        </w:rPr>
        <w:t>EVs</w:t>
      </w:r>
      <w:r w:rsidRPr="00A5087C">
        <w:rPr>
          <w:rFonts w:ascii="Calibri" w:eastAsia="Times New Roman" w:hAnsi="Calibri" w:cs="Calibri"/>
          <w:color w:val="333333"/>
        </w:rPr>
        <w:t xml:space="preserve"> can be considered additional load or a Distributed Energy Resource (“DER”) in a concept known as vehicle to grid (“V2G”), where EVs can be charged and discharged in order to provide grid services when needed. A V2G technology can offer reactive power support, active power regulation, tracking of variable renewable energy sources and load balancing. It can enable ancillary services, such as voltage and frequency control and spinning reserve. The current challenges associated with V2G include battery degradation, the need for intensive communication between the vehicles and the grid, effects on grid distribution equipment, infrastructure changes, as well as social, political, cultural and technical obstacles.</w:t>
      </w:r>
    </w:p>
    <w:p w14:paraId="16B972A6" w14:textId="77777777" w:rsidR="00E6399E" w:rsidRDefault="00E6399E" w:rsidP="00E6399E">
      <w:pPr>
        <w:spacing w:after="120"/>
        <w:rPr>
          <w:rFonts w:ascii="Calibri" w:eastAsia="Times New Roman" w:hAnsi="Calibri" w:cs="Calibri"/>
          <w:color w:val="333333"/>
        </w:rPr>
      </w:pPr>
    </w:p>
    <w:p w14:paraId="52242FB6" w14:textId="2BD6272D" w:rsidR="00E6399E" w:rsidRPr="00E6399E" w:rsidRDefault="00E6399E" w:rsidP="00E6399E">
      <w:pPr>
        <w:spacing w:after="120"/>
        <w:rPr>
          <w:rFonts w:ascii="Calibri" w:eastAsia="Times New Roman" w:hAnsi="Calibri" w:cs="Calibri"/>
          <w:color w:val="333333"/>
        </w:rPr>
      </w:pPr>
      <w:r w:rsidRPr="00E6399E">
        <w:rPr>
          <w:rFonts w:ascii="Calibri" w:eastAsia="Times New Roman" w:hAnsi="Calibri" w:cs="Calibri"/>
          <w:color w:val="333333"/>
        </w:rPr>
        <w:t>Goal: To make renewables and emergent tech</w:t>
      </w:r>
      <w:r>
        <w:rPr>
          <w:rFonts w:ascii="Calibri" w:eastAsia="Times New Roman" w:hAnsi="Calibri" w:cs="Calibri"/>
          <w:color w:val="333333"/>
        </w:rPr>
        <w:t>nologies</w:t>
      </w:r>
      <w:r w:rsidRPr="00E6399E">
        <w:rPr>
          <w:rFonts w:ascii="Calibri" w:eastAsia="Times New Roman" w:hAnsi="Calibri" w:cs="Calibri"/>
          <w:color w:val="333333"/>
        </w:rPr>
        <w:t xml:space="preserve"> less intermittent, cost effective, and facilitate integration into the existing electric grid</w:t>
      </w:r>
    </w:p>
    <w:p w14:paraId="36940EFC" w14:textId="7C4B9C22" w:rsidR="00E6399E" w:rsidRPr="00E6399E" w:rsidRDefault="00E6399E" w:rsidP="00E6399E">
      <w:pPr>
        <w:spacing w:after="120"/>
        <w:rPr>
          <w:rFonts w:ascii="Calibri" w:eastAsia="Times New Roman" w:hAnsi="Calibri" w:cs="Calibri"/>
          <w:color w:val="333333"/>
        </w:rPr>
      </w:pPr>
      <w:r w:rsidRPr="00E6399E">
        <w:rPr>
          <w:rFonts w:ascii="Calibri" w:eastAsia="Times New Roman" w:hAnsi="Calibri" w:cs="Calibri"/>
          <w:color w:val="333333"/>
        </w:rPr>
        <w:t>The teams will research on different types of renewable and emergent tech</w:t>
      </w:r>
      <w:r>
        <w:rPr>
          <w:rFonts w:ascii="Calibri" w:eastAsia="Times New Roman" w:hAnsi="Calibri" w:cs="Calibri"/>
          <w:color w:val="333333"/>
        </w:rPr>
        <w:t>nologies</w:t>
      </w:r>
      <w:r w:rsidRPr="00E6399E">
        <w:rPr>
          <w:rFonts w:ascii="Calibri" w:eastAsia="Times New Roman" w:hAnsi="Calibri" w:cs="Calibri"/>
          <w:color w:val="333333"/>
        </w:rPr>
        <w:t xml:space="preserve"> within the following areas:</w:t>
      </w:r>
    </w:p>
    <w:p w14:paraId="690F9A0F" w14:textId="77777777" w:rsidR="00E6399E" w:rsidRPr="00E6399E" w:rsidRDefault="00E6399E" w:rsidP="00E6399E">
      <w:pPr>
        <w:pStyle w:val="ListParagraph"/>
        <w:numPr>
          <w:ilvl w:val="0"/>
          <w:numId w:val="1"/>
        </w:numPr>
        <w:spacing w:after="120"/>
        <w:rPr>
          <w:rFonts w:ascii="Calibri" w:eastAsia="Times New Roman" w:hAnsi="Calibri" w:cs="Calibri"/>
          <w:color w:val="333333"/>
        </w:rPr>
      </w:pPr>
      <w:r w:rsidRPr="00E6399E">
        <w:rPr>
          <w:rFonts w:ascii="Calibri" w:eastAsia="Times New Roman" w:hAnsi="Calibri" w:cs="Calibri"/>
          <w:color w:val="333333"/>
        </w:rPr>
        <w:t xml:space="preserve">Distributed Generation (Solar, Wind, Hydro, </w:t>
      </w:r>
      <w:proofErr w:type="spellStart"/>
      <w:r w:rsidRPr="00E6399E">
        <w:rPr>
          <w:rFonts w:ascii="Calibri" w:eastAsia="Times New Roman" w:hAnsi="Calibri" w:cs="Calibri"/>
          <w:color w:val="333333"/>
        </w:rPr>
        <w:t>etc</w:t>
      </w:r>
      <w:proofErr w:type="spellEnd"/>
      <w:r w:rsidRPr="00E6399E">
        <w:rPr>
          <w:rFonts w:ascii="Calibri" w:eastAsia="Times New Roman" w:hAnsi="Calibri" w:cs="Calibri"/>
          <w:color w:val="333333"/>
        </w:rPr>
        <w:t>)</w:t>
      </w:r>
    </w:p>
    <w:p w14:paraId="16961A5A" w14:textId="77777777" w:rsidR="00E6399E" w:rsidRPr="00E6399E" w:rsidRDefault="00E6399E" w:rsidP="00E6399E">
      <w:pPr>
        <w:pStyle w:val="ListParagraph"/>
        <w:numPr>
          <w:ilvl w:val="0"/>
          <w:numId w:val="1"/>
        </w:numPr>
        <w:spacing w:after="120"/>
        <w:rPr>
          <w:rFonts w:ascii="Calibri" w:eastAsia="Times New Roman" w:hAnsi="Calibri" w:cs="Calibri"/>
          <w:color w:val="333333"/>
        </w:rPr>
      </w:pPr>
      <w:r w:rsidRPr="00E6399E">
        <w:rPr>
          <w:rFonts w:ascii="Calibri" w:eastAsia="Times New Roman" w:hAnsi="Calibri" w:cs="Calibri"/>
          <w:color w:val="333333"/>
        </w:rPr>
        <w:t>Battery Energy Storage Systems (BESS)</w:t>
      </w:r>
    </w:p>
    <w:p w14:paraId="177DAD90" w14:textId="77777777" w:rsidR="00E6399E" w:rsidRPr="00E6399E" w:rsidRDefault="00E6399E" w:rsidP="00E6399E">
      <w:pPr>
        <w:pStyle w:val="ListParagraph"/>
        <w:numPr>
          <w:ilvl w:val="0"/>
          <w:numId w:val="1"/>
        </w:numPr>
        <w:spacing w:after="120"/>
        <w:rPr>
          <w:rFonts w:ascii="Calibri" w:eastAsia="Times New Roman" w:hAnsi="Calibri" w:cs="Calibri"/>
          <w:color w:val="333333"/>
        </w:rPr>
      </w:pPr>
      <w:r w:rsidRPr="00E6399E">
        <w:rPr>
          <w:rFonts w:ascii="Calibri" w:eastAsia="Times New Roman" w:hAnsi="Calibri" w:cs="Calibri"/>
          <w:color w:val="333333"/>
        </w:rPr>
        <w:t>Electric Vehicles (EV)</w:t>
      </w:r>
    </w:p>
    <w:p w14:paraId="4B783000" w14:textId="77777777" w:rsidR="00E6399E" w:rsidRPr="00E6399E" w:rsidRDefault="00E6399E" w:rsidP="00E6399E">
      <w:pPr>
        <w:pStyle w:val="ListParagraph"/>
        <w:numPr>
          <w:ilvl w:val="0"/>
          <w:numId w:val="1"/>
        </w:numPr>
        <w:spacing w:after="120"/>
        <w:rPr>
          <w:rFonts w:ascii="Calibri" w:eastAsia="Times New Roman" w:hAnsi="Calibri" w:cs="Calibri"/>
          <w:color w:val="333333"/>
        </w:rPr>
      </w:pPr>
      <w:r w:rsidRPr="00E6399E">
        <w:rPr>
          <w:rFonts w:ascii="Calibri" w:eastAsia="Times New Roman" w:hAnsi="Calibri" w:cs="Calibri"/>
          <w:color w:val="333333"/>
        </w:rPr>
        <w:t>Distributed Energy Resource Management Systems (DERMS)</w:t>
      </w:r>
    </w:p>
    <w:p w14:paraId="5CD63CCD" w14:textId="77777777" w:rsidR="00E6399E" w:rsidRPr="00E6399E" w:rsidRDefault="00E6399E" w:rsidP="00E6399E">
      <w:pPr>
        <w:spacing w:after="120"/>
        <w:ind w:firstLine="720"/>
        <w:rPr>
          <w:rFonts w:ascii="Calibri" w:eastAsia="Times New Roman" w:hAnsi="Calibri" w:cs="Calibri"/>
          <w:color w:val="333333"/>
        </w:rPr>
      </w:pPr>
    </w:p>
    <w:p w14:paraId="21E76548" w14:textId="7F2FC874" w:rsidR="00E6399E" w:rsidRPr="00E6399E" w:rsidRDefault="00E6399E" w:rsidP="00E6399E">
      <w:pPr>
        <w:spacing w:after="120"/>
        <w:rPr>
          <w:rFonts w:ascii="Calibri" w:eastAsia="Times New Roman" w:hAnsi="Calibri" w:cs="Calibri"/>
          <w:color w:val="333333"/>
        </w:rPr>
      </w:pPr>
      <w:r w:rsidRPr="00E6399E">
        <w:rPr>
          <w:rFonts w:ascii="Calibri" w:eastAsia="Times New Roman" w:hAnsi="Calibri" w:cs="Calibri"/>
          <w:color w:val="333333"/>
        </w:rPr>
        <w:t>The teams will evaluate which technologies and/or solutions that are best suited for the El Paso Electric service territory and have the most net positive impact on the utility, customer, and environment</w:t>
      </w:r>
      <w:r>
        <w:rPr>
          <w:rFonts w:ascii="Calibri" w:eastAsia="Times New Roman" w:hAnsi="Calibri" w:cs="Calibri"/>
          <w:color w:val="333333"/>
        </w:rPr>
        <w:t>.</w:t>
      </w:r>
    </w:p>
    <w:p w14:paraId="452548B5" w14:textId="77777777" w:rsidR="00E6399E" w:rsidRPr="00E6399E" w:rsidRDefault="00E6399E" w:rsidP="00E6399E">
      <w:pPr>
        <w:spacing w:after="120"/>
        <w:ind w:firstLine="720"/>
        <w:rPr>
          <w:rFonts w:ascii="Calibri" w:eastAsia="Times New Roman" w:hAnsi="Calibri" w:cs="Calibri"/>
          <w:color w:val="333333"/>
        </w:rPr>
      </w:pPr>
    </w:p>
    <w:p w14:paraId="768DF616" w14:textId="586FF55A" w:rsidR="00E6399E" w:rsidRPr="00522291" w:rsidRDefault="00E6399E" w:rsidP="00522291">
      <w:pPr>
        <w:spacing w:after="120"/>
        <w:rPr>
          <w:rFonts w:ascii="Calibri" w:eastAsia="Times New Roman" w:hAnsi="Calibri" w:cs="Calibri"/>
          <w:color w:val="333333"/>
        </w:rPr>
      </w:pPr>
      <w:r w:rsidRPr="00E6399E">
        <w:rPr>
          <w:rFonts w:ascii="Calibri" w:eastAsia="Times New Roman" w:hAnsi="Calibri" w:cs="Calibri"/>
          <w:color w:val="333333"/>
        </w:rPr>
        <w:t xml:space="preserve">The teams will design a </w:t>
      </w:r>
      <w:r>
        <w:rPr>
          <w:rFonts w:ascii="Calibri" w:eastAsia="Times New Roman" w:hAnsi="Calibri" w:cs="Calibri"/>
          <w:color w:val="333333"/>
        </w:rPr>
        <w:t xml:space="preserve">DER </w:t>
      </w:r>
      <w:r w:rsidRPr="00E6399E">
        <w:rPr>
          <w:rFonts w:ascii="Calibri" w:eastAsia="Times New Roman" w:hAnsi="Calibri" w:cs="Calibri"/>
          <w:color w:val="333333"/>
        </w:rPr>
        <w:t xml:space="preserve">grid tied solution demonstration that takes into consideration customer rate design, </w:t>
      </w:r>
      <w:r w:rsidR="001911F2">
        <w:rPr>
          <w:rFonts w:ascii="Calibri" w:eastAsia="Times New Roman" w:hAnsi="Calibri" w:cs="Calibri"/>
          <w:color w:val="333333"/>
        </w:rPr>
        <w:t>the utility regulatory framework, applicable standards from the Federal Energy Regulatory Commission (</w:t>
      </w:r>
      <w:r w:rsidRPr="00E6399E">
        <w:rPr>
          <w:rFonts w:ascii="Calibri" w:eastAsia="Times New Roman" w:hAnsi="Calibri" w:cs="Calibri"/>
          <w:color w:val="333333"/>
        </w:rPr>
        <w:t>FERC</w:t>
      </w:r>
      <w:r w:rsidR="001911F2">
        <w:rPr>
          <w:rFonts w:ascii="Calibri" w:eastAsia="Times New Roman" w:hAnsi="Calibri" w:cs="Calibri"/>
          <w:color w:val="333333"/>
        </w:rPr>
        <w:t xml:space="preserve">), the North American Electric Reliability Corporation (NERC), and the </w:t>
      </w:r>
      <w:r w:rsidRPr="00E6399E">
        <w:rPr>
          <w:rFonts w:ascii="Calibri" w:eastAsia="Times New Roman" w:hAnsi="Calibri" w:cs="Calibri"/>
          <w:color w:val="333333"/>
        </w:rPr>
        <w:t>National Electric Code (NEC) standards, cost, project management, effectiveness, embodied energy, and customer engagement</w:t>
      </w:r>
      <w:r>
        <w:rPr>
          <w:rFonts w:ascii="Calibri" w:eastAsia="Times New Roman" w:hAnsi="Calibri" w:cs="Calibri"/>
          <w:color w:val="333333"/>
        </w:rPr>
        <w:t>.</w:t>
      </w:r>
      <w:bookmarkStart w:id="0" w:name="_GoBack"/>
      <w:bookmarkEnd w:id="0"/>
    </w:p>
    <w:sectPr w:rsidR="00E6399E" w:rsidRPr="00522291" w:rsidSect="00BE41D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CFCA5" w14:textId="77777777" w:rsidR="00BE41DE" w:rsidRDefault="00BE41DE" w:rsidP="00BE41DE">
      <w:pPr>
        <w:spacing w:after="0" w:line="240" w:lineRule="auto"/>
      </w:pPr>
      <w:r>
        <w:separator/>
      </w:r>
    </w:p>
  </w:endnote>
  <w:endnote w:type="continuationSeparator" w:id="0">
    <w:p w14:paraId="57C27D6B" w14:textId="77777777" w:rsidR="00BE41DE" w:rsidRDefault="00BE41DE" w:rsidP="00BE4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Open Sans">
    <w:panose1 w:val="020B08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D7DEE" w14:textId="77777777" w:rsidR="00BE41DE" w:rsidRDefault="00BE41DE" w:rsidP="00BE41DE">
      <w:pPr>
        <w:spacing w:after="0" w:line="240" w:lineRule="auto"/>
      </w:pPr>
      <w:r>
        <w:separator/>
      </w:r>
    </w:p>
  </w:footnote>
  <w:footnote w:type="continuationSeparator" w:id="0">
    <w:p w14:paraId="11EDB37D" w14:textId="77777777" w:rsidR="00BE41DE" w:rsidRDefault="00BE41DE" w:rsidP="00BE4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10CA9"/>
    <w:multiLevelType w:val="hybridMultilevel"/>
    <w:tmpl w:val="A4CE1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9E"/>
    <w:rsid w:val="001911F2"/>
    <w:rsid w:val="00522291"/>
    <w:rsid w:val="00804537"/>
    <w:rsid w:val="00BE41DE"/>
    <w:rsid w:val="00E6399E"/>
    <w:rsid w:val="00FC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12509"/>
  <w15:chartTrackingRefBased/>
  <w15:docId w15:val="{77A898DA-DFE3-45B2-87B0-4425D80D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99E"/>
    <w:pPr>
      <w:ind w:left="720"/>
      <w:contextualSpacing/>
    </w:pPr>
  </w:style>
  <w:style w:type="paragraph" w:styleId="Header">
    <w:name w:val="header"/>
    <w:basedOn w:val="Normal"/>
    <w:link w:val="HeaderChar"/>
    <w:uiPriority w:val="99"/>
    <w:unhideWhenUsed/>
    <w:rsid w:val="00BE4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1DE"/>
  </w:style>
  <w:style w:type="paragraph" w:styleId="Footer">
    <w:name w:val="footer"/>
    <w:basedOn w:val="Normal"/>
    <w:link w:val="FooterChar"/>
    <w:uiPriority w:val="99"/>
    <w:unhideWhenUsed/>
    <w:rsid w:val="00BE4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Pleasant II, James A</dc:creator>
  <cp:keywords/>
  <dc:description/>
  <cp:lastModifiedBy>M. Ginger Scarbrough</cp:lastModifiedBy>
  <cp:revision>7</cp:revision>
  <dcterms:created xsi:type="dcterms:W3CDTF">2022-08-10T16:33:00Z</dcterms:created>
  <dcterms:modified xsi:type="dcterms:W3CDTF">2022-08-10T17:01:00Z</dcterms:modified>
</cp:coreProperties>
</file>